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D" w:rsidRPr="003E355D" w:rsidRDefault="003E355D" w:rsidP="00A64C64">
      <w:pPr>
        <w:pStyle w:val="ListParagraph"/>
        <w:ind w:left="-567"/>
        <w:rPr>
          <w:rFonts w:cs="Aharoni"/>
        </w:rPr>
      </w:pPr>
      <w:r>
        <w:rPr>
          <w:noProof/>
          <w:lang w:eastAsia="en-GB"/>
        </w:rPr>
        <w:drawing>
          <wp:inline distT="0" distB="0" distL="0" distR="0" wp14:anchorId="7FD59014" wp14:editId="3F053B76">
            <wp:extent cx="1144800" cy="13824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 logo square format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5D" w:rsidRDefault="003E355D" w:rsidP="00A64C64">
      <w:pPr>
        <w:pStyle w:val="ListParagraph"/>
        <w:ind w:left="-567"/>
      </w:pPr>
    </w:p>
    <w:p w:rsidR="008B7FA8" w:rsidRDefault="003E355D" w:rsidP="00A64C64">
      <w:pPr>
        <w:pStyle w:val="ListParagraph"/>
        <w:ind w:left="-567"/>
        <w:rPr>
          <w:rFonts w:cs="Aharoni"/>
          <w:sz w:val="28"/>
          <w:szCs w:val="28"/>
        </w:rPr>
      </w:pPr>
      <w:r w:rsidRPr="003E355D">
        <w:rPr>
          <w:rFonts w:cs="Aharoni"/>
          <w:sz w:val="28"/>
          <w:szCs w:val="28"/>
        </w:rPr>
        <w:t xml:space="preserve">MEETING PAPER 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 xml:space="preserve">Subject: </w:t>
      </w:r>
      <w:r w:rsidR="00BA46A0">
        <w:rPr>
          <w:rFonts w:cs="Aharoni"/>
          <w:sz w:val="24"/>
          <w:szCs w:val="24"/>
        </w:rPr>
        <w:t xml:space="preserve">   EPC (Energy Performance Certificate) for non-domestic rented property</w:t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Meeting</w:t>
      </w:r>
      <w:r w:rsidR="00864DFA">
        <w:rPr>
          <w:rFonts w:cs="Aharoni"/>
          <w:sz w:val="24"/>
          <w:szCs w:val="24"/>
        </w:rPr>
        <w:t>:</w:t>
      </w:r>
      <w:r w:rsidR="00BA46A0">
        <w:rPr>
          <w:rFonts w:cs="Aharoni"/>
          <w:sz w:val="24"/>
          <w:szCs w:val="24"/>
        </w:rPr>
        <w:t xml:space="preserve">  </w:t>
      </w:r>
      <w:r w:rsidR="004A02CC">
        <w:rPr>
          <w:rFonts w:cs="Aharoni"/>
          <w:sz w:val="24"/>
          <w:szCs w:val="24"/>
        </w:rPr>
        <w:t xml:space="preserve">Agenda Item: 159.5 </w:t>
      </w:r>
      <w:r w:rsidR="00BA46A0">
        <w:rPr>
          <w:rFonts w:cs="Aharoni"/>
          <w:sz w:val="24"/>
          <w:szCs w:val="24"/>
        </w:rPr>
        <w:t xml:space="preserve">Full Council </w:t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Date:</w:t>
      </w:r>
      <w:r w:rsidRPr="003E355D">
        <w:rPr>
          <w:rFonts w:cs="Aharoni"/>
          <w:sz w:val="24"/>
          <w:szCs w:val="24"/>
        </w:rPr>
        <w:tab/>
      </w:r>
      <w:r w:rsidR="00BA46A0">
        <w:rPr>
          <w:rFonts w:cs="Aharoni"/>
          <w:sz w:val="24"/>
          <w:szCs w:val="24"/>
        </w:rPr>
        <w:t xml:space="preserve">        28 February 2023</w:t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451CAB">
        <w:rPr>
          <w:rFonts w:cs="Aharoni"/>
          <w:sz w:val="24"/>
          <w:szCs w:val="24"/>
        </w:rPr>
        <w:t>CONFIDENTIAL</w:t>
      </w:r>
      <w:r w:rsidRPr="000103EC">
        <w:rPr>
          <w:rFonts w:cs="Aharoni"/>
          <w:sz w:val="24"/>
          <w:szCs w:val="24"/>
        </w:rPr>
        <w:t>/</w:t>
      </w:r>
      <w:r w:rsidRPr="003E355D">
        <w:rPr>
          <w:rFonts w:cs="Aharoni"/>
          <w:sz w:val="24"/>
          <w:szCs w:val="24"/>
        </w:rPr>
        <w:t>NON CONFIDENTIAL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FF2989" w:rsidRDefault="006D0A89" w:rsidP="00FF2989">
      <w:pPr>
        <w:pStyle w:val="ListParagraph"/>
        <w:ind w:left="-567"/>
        <w:rPr>
          <w:u w:val="single"/>
        </w:rPr>
      </w:pPr>
      <w:r>
        <w:rPr>
          <w:u w:val="single"/>
        </w:rPr>
        <w:t>Background</w:t>
      </w:r>
      <w:r w:rsidRPr="006E3707">
        <w:rPr>
          <w:u w:val="single"/>
        </w:rPr>
        <w:t>/Introduction</w:t>
      </w:r>
    </w:p>
    <w:p w:rsidR="006D0A89" w:rsidRDefault="006D0A89" w:rsidP="00A64C64">
      <w:pPr>
        <w:pStyle w:val="ListParagraph"/>
        <w:ind w:left="-567"/>
        <w:rPr>
          <w:u w:val="single"/>
        </w:rPr>
      </w:pPr>
    </w:p>
    <w:p w:rsidR="00BA46A0" w:rsidRDefault="00080E36" w:rsidP="00A64C64">
      <w:pPr>
        <w:pStyle w:val="ListParagraph"/>
        <w:ind w:left="-567"/>
      </w:pPr>
      <w:r>
        <w:t xml:space="preserve">Legislation (Energy Efficiency (Private Rented Property) (England and Wales) Regulations 2015) states that the </w:t>
      </w:r>
      <w:r w:rsidR="00BA46A0">
        <w:t xml:space="preserve">minimum level of energy efficiency provisions will mean that, subject to certain requirements and exemptions: </w:t>
      </w:r>
    </w:p>
    <w:p w:rsidR="00BA46A0" w:rsidRDefault="00BA46A0" w:rsidP="00A64C64">
      <w:pPr>
        <w:pStyle w:val="ListParagraph"/>
        <w:ind w:left="-567"/>
      </w:pPr>
    </w:p>
    <w:p w:rsidR="00BA46A0" w:rsidRDefault="00080E36" w:rsidP="00080E36">
      <w:pPr>
        <w:ind w:left="-567"/>
      </w:pPr>
      <w:r>
        <w:t xml:space="preserve">a) </w:t>
      </w:r>
      <w:r w:rsidR="00BA46A0">
        <w:t>from 1 April 2018, landlords of non-domestic private rented properties (including public sector landlords) may not grant a tenancy to new or existing tenants if their property has an EPC rating of band F or G (shown on a valid Energy Performance Certificate for the property).</w:t>
      </w:r>
    </w:p>
    <w:p w:rsidR="00080E36" w:rsidRDefault="00080E36" w:rsidP="00080E36">
      <w:pPr>
        <w:ind w:left="-567"/>
      </w:pPr>
      <w:r>
        <w:t>AND</w:t>
      </w:r>
    </w:p>
    <w:p w:rsidR="00BA46A0" w:rsidRDefault="00BA46A0" w:rsidP="00A64C64">
      <w:pPr>
        <w:pStyle w:val="ListParagraph"/>
        <w:ind w:left="-567"/>
      </w:pPr>
      <w:r>
        <w:t xml:space="preserve">b) </w:t>
      </w:r>
      <w:r w:rsidRPr="008116B9">
        <w:rPr>
          <w:u w:val="single"/>
        </w:rPr>
        <w:t>from 1 April 2023</w:t>
      </w:r>
      <w:r>
        <w:t>, landlords must not continue letting a non-domestic property which is already let if that property has an EPC rating of band F or G.</w:t>
      </w:r>
    </w:p>
    <w:p w:rsidR="00BA46A0" w:rsidRDefault="00BA46A0" w:rsidP="00A64C64">
      <w:pPr>
        <w:pStyle w:val="ListParagraph"/>
        <w:ind w:left="-567"/>
      </w:pPr>
    </w:p>
    <w:p w:rsidR="00BA46A0" w:rsidRDefault="00E902BF" w:rsidP="00A64C64">
      <w:pPr>
        <w:pStyle w:val="ListParagraph"/>
        <w:ind w:left="-567"/>
        <w:rPr>
          <w:rStyle w:val="Hyperlink"/>
        </w:rPr>
      </w:pPr>
      <w:hyperlink r:id="rId6" w:history="1">
        <w:r w:rsidR="00BA46A0" w:rsidRPr="00BA46A0">
          <w:rPr>
            <w:rStyle w:val="Hyperlink"/>
          </w:rPr>
          <w:t>https://assets.publishing.service.gov.uk/government/uploads/system/uploads/attachment_data/file/824018/Non-Dom_Private_Rented_Property_Minimum_Standard_-_Landlord_Guidance.pdf</w:t>
        </w:r>
      </w:hyperlink>
    </w:p>
    <w:p w:rsidR="008116B9" w:rsidRDefault="008116B9" w:rsidP="00A64C64">
      <w:pPr>
        <w:pStyle w:val="ListParagraph"/>
        <w:ind w:left="-567"/>
        <w:rPr>
          <w:u w:val="single"/>
        </w:rPr>
      </w:pPr>
    </w:p>
    <w:p w:rsidR="008116B9" w:rsidRDefault="006D0A89" w:rsidP="008116B9">
      <w:pPr>
        <w:pStyle w:val="ListParagraph"/>
        <w:ind w:left="-567"/>
        <w:rPr>
          <w:u w:val="single"/>
        </w:rPr>
      </w:pPr>
      <w:r>
        <w:rPr>
          <w:u w:val="single"/>
        </w:rPr>
        <w:t>Details</w:t>
      </w:r>
    </w:p>
    <w:p w:rsidR="008116B9" w:rsidRDefault="008116B9" w:rsidP="008116B9">
      <w:pPr>
        <w:pStyle w:val="ListParagraph"/>
        <w:ind w:left="-567"/>
        <w:rPr>
          <w:u w:val="single"/>
        </w:rPr>
      </w:pPr>
    </w:p>
    <w:p w:rsidR="008116B9" w:rsidRPr="008116B9" w:rsidRDefault="008116B9" w:rsidP="008116B9">
      <w:pPr>
        <w:pStyle w:val="ListParagraph"/>
        <w:ind w:left="-567"/>
      </w:pPr>
      <w:r w:rsidRPr="008116B9">
        <w:t xml:space="preserve">All properties in the Town Council’s ownership </w:t>
      </w:r>
      <w:r w:rsidR="00E902BF">
        <w:t xml:space="preserve">with a tenant </w:t>
      </w:r>
      <w:r w:rsidRPr="008116B9">
        <w:t xml:space="preserve">will require an EPC.  As well as being a statutory requirement, the work will support the Town Council’s Climate Emergency declaration. Properties </w:t>
      </w:r>
      <w:r w:rsidR="00E902BF">
        <w:t>s</w:t>
      </w:r>
      <w:bookmarkStart w:id="0" w:name="_GoBack"/>
      <w:bookmarkEnd w:id="0"/>
      <w:r w:rsidRPr="008116B9">
        <w:t xml:space="preserve">maller than 50 sq metre </w:t>
      </w:r>
      <w:r w:rsidRPr="008116B9">
        <w:t xml:space="preserve">are </w:t>
      </w:r>
      <w:r w:rsidRPr="008116B9">
        <w:t>exempt as along as detached.</w:t>
      </w:r>
    </w:p>
    <w:p w:rsidR="008116B9" w:rsidRDefault="008116B9" w:rsidP="00A64C64">
      <w:pPr>
        <w:pStyle w:val="ListParagraph"/>
        <w:ind w:left="-567"/>
        <w:rPr>
          <w:u w:val="single"/>
        </w:rPr>
      </w:pPr>
    </w:p>
    <w:p w:rsidR="008116B9" w:rsidRDefault="008116B9" w:rsidP="008116B9">
      <w:pPr>
        <w:pStyle w:val="ListParagraph"/>
        <w:ind w:left="-567"/>
      </w:pPr>
      <w:r w:rsidRPr="00080E36">
        <w:t xml:space="preserve">Noting, that </w:t>
      </w:r>
      <w:r>
        <w:t>as far as records show</w:t>
      </w:r>
      <w:r>
        <w:t>,</w:t>
      </w:r>
      <w:r>
        <w:t xml:space="preserve"> </w:t>
      </w:r>
      <w:r w:rsidRPr="00080E36">
        <w:t xml:space="preserve">only the Marina Theatre </w:t>
      </w:r>
      <w:r>
        <w:t>previously had an EPC.</w:t>
      </w:r>
    </w:p>
    <w:p w:rsidR="008116B9" w:rsidRDefault="008116B9" w:rsidP="008116B9">
      <w:pPr>
        <w:pStyle w:val="ListParagraph"/>
        <w:ind w:left="-567"/>
      </w:pPr>
    </w:p>
    <w:p w:rsidR="008116B9" w:rsidRPr="004A02CC" w:rsidRDefault="008116B9" w:rsidP="008116B9">
      <w:pPr>
        <w:pStyle w:val="ListParagraph"/>
        <w:ind w:left="-567"/>
        <w:rPr>
          <w:i/>
        </w:rPr>
      </w:pPr>
      <w:r>
        <w:t>1. Marina Theatre (expired August 2020)</w:t>
      </w:r>
      <w:r w:rsidR="004A02CC">
        <w:t xml:space="preserve">. </w:t>
      </w:r>
      <w:r w:rsidR="004A02CC" w:rsidRPr="004A02CC">
        <w:rPr>
          <w:i/>
        </w:rPr>
        <w:t>Indicative quote has been given of £500 for this property due to complexity of many rooms etc.</w:t>
      </w:r>
    </w:p>
    <w:p w:rsidR="008116B9" w:rsidRDefault="008116B9" w:rsidP="008116B9">
      <w:pPr>
        <w:pStyle w:val="ListParagraph"/>
        <w:ind w:left="-567"/>
      </w:pPr>
      <w:r>
        <w:t>2. The Cottage, Belle Vue Park</w:t>
      </w:r>
    </w:p>
    <w:p w:rsidR="008116B9" w:rsidRDefault="008116B9" w:rsidP="008116B9">
      <w:pPr>
        <w:pStyle w:val="ListParagraph"/>
        <w:ind w:left="-567"/>
      </w:pPr>
      <w:r>
        <w:t xml:space="preserve">3. </w:t>
      </w:r>
      <w:r w:rsidRPr="00B8509A">
        <w:rPr>
          <w:strike/>
        </w:rPr>
        <w:t>Kensington Gardens Tea Room</w:t>
      </w:r>
      <w:r w:rsidR="00B8509A">
        <w:t xml:space="preserve"> (has current certificate E Rating expires 2031)</w:t>
      </w:r>
    </w:p>
    <w:p w:rsidR="008116B9" w:rsidRDefault="008116B9" w:rsidP="008116B9">
      <w:pPr>
        <w:pStyle w:val="ListParagraph"/>
        <w:ind w:left="-567"/>
      </w:pPr>
      <w:r>
        <w:t>4. Kensington Garden Kiosk</w:t>
      </w:r>
    </w:p>
    <w:p w:rsidR="008116B9" w:rsidRDefault="008116B9" w:rsidP="008116B9">
      <w:pPr>
        <w:pStyle w:val="ListParagraph"/>
        <w:ind w:left="-567"/>
      </w:pPr>
      <w:r>
        <w:t>5. Kensington Garden Model Boat Club</w:t>
      </w:r>
    </w:p>
    <w:p w:rsidR="008116B9" w:rsidRDefault="008116B9" w:rsidP="008116B9">
      <w:pPr>
        <w:pStyle w:val="ListParagraph"/>
        <w:ind w:left="-567"/>
      </w:pPr>
      <w:r>
        <w:t xml:space="preserve">6. </w:t>
      </w:r>
      <w:proofErr w:type="spellStart"/>
      <w:r>
        <w:t>G</w:t>
      </w:r>
      <w:r w:rsidR="00E902BF">
        <w:t>i</w:t>
      </w:r>
      <w:r>
        <w:t>ardinos</w:t>
      </w:r>
      <w:proofErr w:type="spellEnd"/>
      <w:r>
        <w:t xml:space="preserve"> Sparrows Nest </w:t>
      </w:r>
    </w:p>
    <w:p w:rsidR="008116B9" w:rsidRDefault="008116B9" w:rsidP="008116B9">
      <w:pPr>
        <w:pStyle w:val="ListParagraph"/>
        <w:ind w:left="-567"/>
      </w:pPr>
      <w:r>
        <w:t>7. Martellos Sparrows Nest</w:t>
      </w:r>
    </w:p>
    <w:p w:rsidR="008116B9" w:rsidRDefault="008116B9" w:rsidP="008116B9">
      <w:pPr>
        <w:pStyle w:val="ListParagraph"/>
        <w:ind w:left="-567"/>
      </w:pPr>
      <w:r>
        <w:t>8. RN</w:t>
      </w:r>
      <w:r w:rsidR="004A02CC">
        <w:t>P</w:t>
      </w:r>
      <w:r>
        <w:t>S Museum Sparrows Nest</w:t>
      </w:r>
    </w:p>
    <w:p w:rsidR="008116B9" w:rsidRDefault="008116B9" w:rsidP="008116B9">
      <w:pPr>
        <w:pStyle w:val="ListParagraph"/>
        <w:ind w:left="-567"/>
      </w:pPr>
      <w:r>
        <w:t xml:space="preserve">9. Maritime Museum Sparrows Nest </w:t>
      </w:r>
    </w:p>
    <w:p w:rsidR="008116B9" w:rsidRDefault="008116B9" w:rsidP="008116B9">
      <w:pPr>
        <w:pStyle w:val="ListParagraph"/>
        <w:ind w:left="-567"/>
      </w:pPr>
      <w:r>
        <w:t>10. War Memorial Museum Sparrows Nest</w:t>
      </w:r>
    </w:p>
    <w:p w:rsidR="008116B9" w:rsidRDefault="008116B9" w:rsidP="008116B9">
      <w:pPr>
        <w:pStyle w:val="ListParagraph"/>
        <w:ind w:left="-567"/>
      </w:pPr>
      <w:r>
        <w:t>11. Movie Makers Studio Sparrows Nest</w:t>
      </w:r>
      <w:r w:rsidR="004A02CC">
        <w:t xml:space="preserve"> (?)</w:t>
      </w:r>
    </w:p>
    <w:p w:rsidR="008116B9" w:rsidRDefault="008116B9" w:rsidP="008116B9">
      <w:pPr>
        <w:pStyle w:val="ListParagraph"/>
        <w:ind w:left="-567"/>
      </w:pPr>
      <w:r>
        <w:t>1</w:t>
      </w:r>
      <w:r>
        <w:t>2</w:t>
      </w:r>
      <w:r>
        <w:t xml:space="preserve">. </w:t>
      </w:r>
      <w:proofErr w:type="spellStart"/>
      <w:r w:rsidRPr="00B8509A">
        <w:rPr>
          <w:strike/>
        </w:rPr>
        <w:t>Tingdene</w:t>
      </w:r>
      <w:proofErr w:type="spellEnd"/>
      <w:r w:rsidRPr="00B8509A">
        <w:rPr>
          <w:strike/>
        </w:rPr>
        <w:t xml:space="preserve"> Office/Toilet/Shower Block</w:t>
      </w:r>
      <w:r w:rsidR="00B8509A">
        <w:t xml:space="preserve"> </w:t>
      </w:r>
      <w:r w:rsidR="00B8509A">
        <w:t xml:space="preserve">(has current certificate </w:t>
      </w:r>
      <w:r w:rsidR="00B8509A">
        <w:t>D</w:t>
      </w:r>
      <w:r w:rsidR="00B8509A">
        <w:t xml:space="preserve"> Rating expires 20</w:t>
      </w:r>
      <w:r w:rsidR="00B8509A">
        <w:t>27</w:t>
      </w:r>
      <w:r w:rsidR="00B8509A">
        <w:t>)</w:t>
      </w:r>
    </w:p>
    <w:p w:rsidR="004A02CC" w:rsidRDefault="004A02CC" w:rsidP="008116B9">
      <w:pPr>
        <w:pStyle w:val="ListParagraph"/>
        <w:ind w:left="-567"/>
      </w:pPr>
      <w:r>
        <w:t>13. Uplands Hall</w:t>
      </w:r>
    </w:p>
    <w:p w:rsidR="004A02CC" w:rsidRDefault="004A02CC" w:rsidP="008116B9">
      <w:pPr>
        <w:pStyle w:val="ListParagraph"/>
        <w:ind w:left="-567"/>
      </w:pPr>
      <w:r>
        <w:t>14. Gunton Hall</w:t>
      </w:r>
    </w:p>
    <w:p w:rsidR="004A02CC" w:rsidRPr="00B8509A" w:rsidRDefault="004A02CC" w:rsidP="008116B9">
      <w:pPr>
        <w:pStyle w:val="ListParagraph"/>
        <w:ind w:left="-567"/>
      </w:pPr>
      <w:r>
        <w:t xml:space="preserve">15. </w:t>
      </w:r>
      <w:r w:rsidRPr="00B8509A">
        <w:rPr>
          <w:strike/>
        </w:rPr>
        <w:t>Jesters Café, Normanton Park</w:t>
      </w:r>
      <w:r w:rsidR="00B8509A">
        <w:t xml:space="preserve"> </w:t>
      </w:r>
      <w:r w:rsidR="00B8509A">
        <w:t xml:space="preserve">(has current certificate </w:t>
      </w:r>
      <w:r w:rsidR="00B8509A">
        <w:t>D</w:t>
      </w:r>
      <w:r w:rsidR="00B8509A">
        <w:t xml:space="preserve"> Rating expires 2031)</w:t>
      </w:r>
    </w:p>
    <w:p w:rsidR="004A02CC" w:rsidRDefault="004A02CC" w:rsidP="008116B9">
      <w:pPr>
        <w:pStyle w:val="ListParagraph"/>
        <w:ind w:left="-567"/>
      </w:pPr>
      <w:r>
        <w:t>16. The Lighthouse Diner, Whapload Road</w:t>
      </w:r>
    </w:p>
    <w:p w:rsidR="004A02CC" w:rsidRDefault="004A02CC" w:rsidP="004A02CC">
      <w:pPr>
        <w:pStyle w:val="ListParagraph"/>
        <w:ind w:left="-567"/>
      </w:pPr>
      <w:r>
        <w:t>17. Walmer Road (?)</w:t>
      </w:r>
    </w:p>
    <w:p w:rsidR="004A02CC" w:rsidRDefault="004A02CC" w:rsidP="004A02CC">
      <w:pPr>
        <w:pStyle w:val="ListParagraph"/>
        <w:ind w:left="-567"/>
      </w:pPr>
    </w:p>
    <w:p w:rsidR="00E3684F" w:rsidRPr="004A02CC" w:rsidRDefault="006D0A89" w:rsidP="004A02CC">
      <w:pPr>
        <w:pStyle w:val="ListParagraph"/>
        <w:ind w:left="-567"/>
      </w:pPr>
      <w:r w:rsidRPr="004A02CC">
        <w:rPr>
          <w:u w:val="single"/>
        </w:rPr>
        <w:t>Recommendations/Decision</w:t>
      </w:r>
    </w:p>
    <w:p w:rsidR="00080E36" w:rsidRPr="00080E36" w:rsidRDefault="00080E36" w:rsidP="00080E36">
      <w:pPr>
        <w:pStyle w:val="ListParagraph"/>
        <w:ind w:left="-567"/>
      </w:pPr>
    </w:p>
    <w:p w:rsidR="00897869" w:rsidRDefault="00080E36" w:rsidP="008116B9">
      <w:pPr>
        <w:pStyle w:val="ListParagraph"/>
        <w:ind w:left="-567"/>
      </w:pPr>
      <w:r w:rsidRPr="00080E36">
        <w:lastRenderedPageBreak/>
        <w:t xml:space="preserve">The Council notes this requirement and agrees a budget to carry out reports at the </w:t>
      </w:r>
      <w:r w:rsidR="00E902BF">
        <w:t>above</w:t>
      </w:r>
      <w:r w:rsidRPr="00080E36">
        <w:t xml:space="preserve"> properties. </w:t>
      </w:r>
    </w:p>
    <w:p w:rsidR="00897869" w:rsidRPr="00897869" w:rsidRDefault="00897869" w:rsidP="00080E36">
      <w:pPr>
        <w:pStyle w:val="ListParagraph"/>
        <w:ind w:left="-567"/>
        <w:rPr>
          <w:highlight w:val="magenta"/>
        </w:rPr>
      </w:pPr>
    </w:p>
    <w:sectPr w:rsidR="00897869" w:rsidRPr="00897869" w:rsidSect="00A64C64">
      <w:pgSz w:w="11906" w:h="16838"/>
      <w:pgMar w:top="1134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0F"/>
    <w:multiLevelType w:val="hybridMultilevel"/>
    <w:tmpl w:val="8340BB56"/>
    <w:lvl w:ilvl="0" w:tplc="4DEC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B0029"/>
    <w:multiLevelType w:val="hybridMultilevel"/>
    <w:tmpl w:val="C49E7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DF7"/>
    <w:multiLevelType w:val="hybridMultilevel"/>
    <w:tmpl w:val="C142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2B90"/>
    <w:multiLevelType w:val="hybridMultilevel"/>
    <w:tmpl w:val="C3F884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B062D8"/>
    <w:multiLevelType w:val="hybridMultilevel"/>
    <w:tmpl w:val="D55CCDB8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E24676"/>
    <w:multiLevelType w:val="hybridMultilevel"/>
    <w:tmpl w:val="61B6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EE8"/>
    <w:multiLevelType w:val="hybridMultilevel"/>
    <w:tmpl w:val="EF7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362"/>
    <w:multiLevelType w:val="hybridMultilevel"/>
    <w:tmpl w:val="51EE754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10AD0"/>
    <w:multiLevelType w:val="hybridMultilevel"/>
    <w:tmpl w:val="A09AC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C94"/>
    <w:multiLevelType w:val="hybridMultilevel"/>
    <w:tmpl w:val="35EAAAE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1C08FC"/>
    <w:multiLevelType w:val="hybridMultilevel"/>
    <w:tmpl w:val="A8D46C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E8A"/>
    <w:multiLevelType w:val="hybridMultilevel"/>
    <w:tmpl w:val="5A0280D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7050A2"/>
    <w:multiLevelType w:val="hybridMultilevel"/>
    <w:tmpl w:val="847ADF60"/>
    <w:lvl w:ilvl="0" w:tplc="074EBE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B5"/>
    <w:multiLevelType w:val="hybridMultilevel"/>
    <w:tmpl w:val="8F92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15"/>
    <w:multiLevelType w:val="hybridMultilevel"/>
    <w:tmpl w:val="854A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51D"/>
    <w:multiLevelType w:val="hybridMultilevel"/>
    <w:tmpl w:val="153858A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CA724E"/>
    <w:multiLevelType w:val="hybridMultilevel"/>
    <w:tmpl w:val="F176FC9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0350BF"/>
    <w:multiLevelType w:val="hybridMultilevel"/>
    <w:tmpl w:val="B806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05CF"/>
    <w:multiLevelType w:val="hybridMultilevel"/>
    <w:tmpl w:val="F482D946"/>
    <w:lvl w:ilvl="0" w:tplc="DCF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8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6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E145E0"/>
    <w:multiLevelType w:val="hybridMultilevel"/>
    <w:tmpl w:val="FCA877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CE5235"/>
    <w:multiLevelType w:val="hybridMultilevel"/>
    <w:tmpl w:val="AF668006"/>
    <w:lvl w:ilvl="0" w:tplc="700E5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4E2"/>
    <w:multiLevelType w:val="hybridMultilevel"/>
    <w:tmpl w:val="2DB61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14B15"/>
    <w:multiLevelType w:val="hybridMultilevel"/>
    <w:tmpl w:val="4B6CFFCC"/>
    <w:lvl w:ilvl="0" w:tplc="FEB86F3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D0307D2"/>
    <w:multiLevelType w:val="hybridMultilevel"/>
    <w:tmpl w:val="41F83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95754C"/>
    <w:multiLevelType w:val="hybridMultilevel"/>
    <w:tmpl w:val="8A0673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FE256A"/>
    <w:multiLevelType w:val="hybridMultilevel"/>
    <w:tmpl w:val="46127B8A"/>
    <w:lvl w:ilvl="0" w:tplc="E9A88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C2D20"/>
    <w:multiLevelType w:val="hybridMultilevel"/>
    <w:tmpl w:val="A0A443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2884736"/>
    <w:multiLevelType w:val="hybridMultilevel"/>
    <w:tmpl w:val="32A673A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DF2C79"/>
    <w:multiLevelType w:val="hybridMultilevel"/>
    <w:tmpl w:val="943072FC"/>
    <w:lvl w:ilvl="0" w:tplc="A6EE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8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291216"/>
    <w:multiLevelType w:val="hybridMultilevel"/>
    <w:tmpl w:val="9CDC2144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B17C3"/>
    <w:multiLevelType w:val="hybridMultilevel"/>
    <w:tmpl w:val="B858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94EFC"/>
    <w:multiLevelType w:val="hybridMultilevel"/>
    <w:tmpl w:val="02DCF6B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30"/>
  </w:num>
  <w:num w:numId="7">
    <w:abstractNumId w:val="2"/>
  </w:num>
  <w:num w:numId="8">
    <w:abstractNumId w:val="21"/>
  </w:num>
  <w:num w:numId="9">
    <w:abstractNumId w:val="25"/>
  </w:num>
  <w:num w:numId="10">
    <w:abstractNumId w:val="8"/>
  </w:num>
  <w:num w:numId="11">
    <w:abstractNumId w:val="13"/>
  </w:num>
  <w:num w:numId="12">
    <w:abstractNumId w:val="19"/>
  </w:num>
  <w:num w:numId="13">
    <w:abstractNumId w:val="4"/>
  </w:num>
  <w:num w:numId="14">
    <w:abstractNumId w:val="27"/>
  </w:num>
  <w:num w:numId="15">
    <w:abstractNumId w:val="11"/>
  </w:num>
  <w:num w:numId="16">
    <w:abstractNumId w:val="16"/>
  </w:num>
  <w:num w:numId="17">
    <w:abstractNumId w:val="31"/>
  </w:num>
  <w:num w:numId="18">
    <w:abstractNumId w:val="29"/>
  </w:num>
  <w:num w:numId="19">
    <w:abstractNumId w:val="3"/>
  </w:num>
  <w:num w:numId="20">
    <w:abstractNumId w:val="7"/>
  </w:num>
  <w:num w:numId="21">
    <w:abstractNumId w:val="10"/>
  </w:num>
  <w:num w:numId="22">
    <w:abstractNumId w:val="15"/>
  </w:num>
  <w:num w:numId="23">
    <w:abstractNumId w:val="9"/>
  </w:num>
  <w:num w:numId="24">
    <w:abstractNumId w:val="23"/>
  </w:num>
  <w:num w:numId="25">
    <w:abstractNumId w:val="1"/>
  </w:num>
  <w:num w:numId="26">
    <w:abstractNumId w:val="6"/>
  </w:num>
  <w:num w:numId="27">
    <w:abstractNumId w:val="17"/>
  </w:num>
  <w:num w:numId="28">
    <w:abstractNumId w:val="14"/>
  </w:num>
  <w:num w:numId="29">
    <w:abstractNumId w:val="5"/>
  </w:num>
  <w:num w:numId="30">
    <w:abstractNumId w:val="26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4"/>
    <w:rsid w:val="000103EC"/>
    <w:rsid w:val="00080E36"/>
    <w:rsid w:val="001473B9"/>
    <w:rsid w:val="00387490"/>
    <w:rsid w:val="003E355D"/>
    <w:rsid w:val="00451CAB"/>
    <w:rsid w:val="004A02CC"/>
    <w:rsid w:val="004D7095"/>
    <w:rsid w:val="005027AE"/>
    <w:rsid w:val="00551F8E"/>
    <w:rsid w:val="0059213F"/>
    <w:rsid w:val="005E5914"/>
    <w:rsid w:val="005E7740"/>
    <w:rsid w:val="006B1EEE"/>
    <w:rsid w:val="006C7EC4"/>
    <w:rsid w:val="006D0A89"/>
    <w:rsid w:val="007B46DF"/>
    <w:rsid w:val="007F75A4"/>
    <w:rsid w:val="008116B9"/>
    <w:rsid w:val="00864DFA"/>
    <w:rsid w:val="0088276E"/>
    <w:rsid w:val="00897869"/>
    <w:rsid w:val="008B7FA8"/>
    <w:rsid w:val="008E0ADD"/>
    <w:rsid w:val="009D3B3C"/>
    <w:rsid w:val="00A64C64"/>
    <w:rsid w:val="00B523B5"/>
    <w:rsid w:val="00B8509A"/>
    <w:rsid w:val="00BA46A0"/>
    <w:rsid w:val="00BE0C70"/>
    <w:rsid w:val="00BE46EA"/>
    <w:rsid w:val="00BE74EF"/>
    <w:rsid w:val="00BF5B2D"/>
    <w:rsid w:val="00E12E07"/>
    <w:rsid w:val="00E3684F"/>
    <w:rsid w:val="00E902BF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CB88"/>
  <w15:docId w15:val="{E844C0F4-4F0A-43FA-B4A3-7C81374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276E"/>
    <w:rPr>
      <w:b/>
      <w:bCs/>
      <w:i w:val="0"/>
      <w:iCs w:val="0"/>
    </w:rPr>
  </w:style>
  <w:style w:type="character" w:customStyle="1" w:styleId="st1">
    <w:name w:val="st1"/>
    <w:basedOn w:val="DefaultParagraphFont"/>
    <w:rsid w:val="0088276E"/>
  </w:style>
  <w:style w:type="table" w:styleId="TableGrid">
    <w:name w:val="Table Grid"/>
    <w:basedOn w:val="TableNormal"/>
    <w:uiPriority w:val="59"/>
    <w:rsid w:val="008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FA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A4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7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824018/Non-Dom_Private_Rented_Property_Minimum_Standard_-_Landlord_Guidance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Foote</dc:creator>
  <cp:lastModifiedBy>Sarah Foote</cp:lastModifiedBy>
  <cp:revision>2</cp:revision>
  <cp:lastPrinted>2018-02-06T13:00:00Z</cp:lastPrinted>
  <dcterms:created xsi:type="dcterms:W3CDTF">2023-02-21T17:34:00Z</dcterms:created>
  <dcterms:modified xsi:type="dcterms:W3CDTF">2023-02-21T17:34:00Z</dcterms:modified>
</cp:coreProperties>
</file>