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2CEC" w14:textId="77777777" w:rsidR="00493E9C" w:rsidRDefault="00A52DB0">
      <w:pPr>
        <w:numPr>
          <w:ilvl w:val="0"/>
          <w:numId w:val="1"/>
        </w:numPr>
        <w:spacing w:after="274"/>
        <w:ind w:hanging="591"/>
      </w:pPr>
      <w:r>
        <w:t>D Any other relevant business which has been notified in writing to the committee at Least 21 days prior to the date of the meeting.</w:t>
      </w:r>
    </w:p>
    <w:p w14:paraId="01CA1502" w14:textId="6A855604" w:rsidR="00493E9C" w:rsidRDefault="00A52DB0">
      <w:pPr>
        <w:numPr>
          <w:ilvl w:val="0"/>
          <w:numId w:val="1"/>
        </w:numPr>
        <w:spacing w:after="278"/>
        <w:ind w:hanging="591"/>
      </w:pPr>
      <w:r>
        <w:t xml:space="preserve">A special general meeting may be called by the committee and be so called on the Written request of not less than ten members. The written request shall indicate </w:t>
      </w:r>
      <w:r w:rsidR="00597BA5">
        <w:t>the</w:t>
      </w:r>
      <w:r>
        <w:t xml:space="preserve"> matters to be discussed. Not less than fourteen days clear notice of such a Meeting to be given to all members.</w:t>
      </w:r>
    </w:p>
    <w:p w14:paraId="409494D7" w14:textId="77777777" w:rsidR="00493E9C" w:rsidRDefault="00A52DB0">
      <w:pPr>
        <w:numPr>
          <w:ilvl w:val="0"/>
          <w:numId w:val="1"/>
        </w:numPr>
        <w:ind w:hanging="591"/>
      </w:pPr>
      <w:r>
        <w:t>Business at meetings shall be decided by a majority of members present. Members Shall be entitled to one vote each and voting shall be by a show of hands unless a</w:t>
      </w:r>
    </w:p>
    <w:p w14:paraId="1F1ECEE8" w14:textId="77777777" w:rsidR="00493E9C" w:rsidRDefault="00A52DB0">
      <w:pPr>
        <w:spacing w:after="275"/>
        <w:ind w:left="601" w:right="137"/>
      </w:pPr>
      <w:r>
        <w:t>Ballot is requested by at least forty percent of members present. The quorum for a General meeting shall be ten members, for a committee meeting it shall be five Members of the committee.</w:t>
      </w:r>
    </w:p>
    <w:p w14:paraId="7BF459BE" w14:textId="6BDD2463" w:rsidR="00493E9C" w:rsidRDefault="00597BA5">
      <w:pPr>
        <w:numPr>
          <w:ilvl w:val="0"/>
          <w:numId w:val="1"/>
        </w:numPr>
        <w:ind w:hanging="591"/>
      </w:pPr>
      <w:r>
        <w:t>An</w:t>
      </w:r>
      <w:r w:rsidR="00A52DB0">
        <w:t xml:space="preserve"> Officers can only be appointed at an Annual General Meeting.</w:t>
      </w:r>
    </w:p>
    <w:p w14:paraId="6823C874" w14:textId="6482B84D" w:rsidR="00493E9C" w:rsidRDefault="00A52DB0">
      <w:pPr>
        <w:numPr>
          <w:ilvl w:val="1"/>
          <w:numId w:val="1"/>
        </w:numPr>
        <w:spacing w:after="13" w:line="248" w:lineRule="auto"/>
        <w:ind w:left="601" w:hanging="29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F67B65" wp14:editId="1CE8A251">
            <wp:simplePos x="0" y="0"/>
            <wp:positionH relativeFrom="page">
              <wp:posOffset>128091</wp:posOffset>
            </wp:positionH>
            <wp:positionV relativeFrom="page">
              <wp:posOffset>201244</wp:posOffset>
            </wp:positionV>
            <wp:extent cx="754824" cy="503111"/>
            <wp:effectExtent l="0" t="0" r="0" b="0"/>
            <wp:wrapTopAndBottom/>
            <wp:docPr id="1796" name="Picture 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Picture 17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" cy="50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trustees shall have the power to appoint such sub-committees as they deem Necessary from time to time </w:t>
      </w:r>
      <w:r w:rsidR="00597BA5">
        <w:t>and</w:t>
      </w:r>
      <w:r>
        <w:t xml:space="preserve"> to co-opt members to fill any casual Vacancies arising during the year. A member so appointed shall retire at the Following Annual General Meeting.</w:t>
      </w:r>
    </w:p>
    <w:p w14:paraId="3FCE02DA" w14:textId="77777777" w:rsidR="00493E9C" w:rsidRDefault="00A52DB0">
      <w:pPr>
        <w:numPr>
          <w:ilvl w:val="1"/>
          <w:numId w:val="1"/>
        </w:numPr>
        <w:spacing w:after="291"/>
        <w:ind w:left="601" w:hanging="295"/>
        <w:jc w:val="left"/>
      </w:pPr>
      <w:r>
        <w:t>Rules and constitution may be altered only at an Annual General Meeting and Alterations shall require a 75% majority of members present.</w:t>
      </w:r>
    </w:p>
    <w:p w14:paraId="5D503092" w14:textId="77777777" w:rsidR="00493E9C" w:rsidRDefault="00A52DB0">
      <w:pPr>
        <w:numPr>
          <w:ilvl w:val="0"/>
          <w:numId w:val="1"/>
        </w:numPr>
        <w:ind w:hanging="591"/>
      </w:pPr>
      <w:r>
        <w:t>The Honorary Treasurer shall be responsible for the administration of the</w:t>
      </w:r>
    </w:p>
    <w:p w14:paraId="686446E6" w14:textId="77777777" w:rsidR="00493E9C" w:rsidRDefault="00A52DB0">
      <w:pPr>
        <w:ind w:left="608"/>
      </w:pPr>
      <w:r>
        <w:t>Expenditure as agreed by the Trustees. Cheques shall be signed by any two of the</w:t>
      </w:r>
    </w:p>
    <w:p w14:paraId="6A00DB0A" w14:textId="77777777" w:rsidR="00493E9C" w:rsidRDefault="00A52DB0">
      <w:pPr>
        <w:spacing w:after="283"/>
        <w:ind w:left="670" w:hanging="58"/>
      </w:pPr>
      <w:r>
        <w:t>Chair, Secretary and Treasurer and bank mandates shall be completed accordingly. The accounts shall be audited by an independent body and presented at the Annual General Meeting.</w:t>
      </w:r>
    </w:p>
    <w:p w14:paraId="3DE007A4" w14:textId="77777777" w:rsidR="00493E9C" w:rsidRDefault="00A52DB0">
      <w:pPr>
        <w:numPr>
          <w:ilvl w:val="0"/>
          <w:numId w:val="1"/>
        </w:numPr>
        <w:ind w:hanging="591"/>
      </w:pPr>
      <w:r>
        <w:t>The Association may be dissolved by resolution passed by a 75% majority of all</w:t>
      </w:r>
    </w:p>
    <w:p w14:paraId="569205D4" w14:textId="77777777" w:rsidR="00493E9C" w:rsidRDefault="00A52DB0">
      <w:pPr>
        <w:ind w:left="615" w:right="101"/>
      </w:pPr>
      <w:r>
        <w:t>Trustees present at a special general meeting called for the purpose of considering Such a resolution and any assets standing to the credit of the association shall be Distributed among other charities with similar objects.</w:t>
      </w:r>
    </w:p>
    <w:sectPr w:rsidR="00493E9C">
      <w:pgSz w:w="12240" w:h="16840"/>
      <w:pgMar w:top="1440" w:right="2075" w:bottom="1440" w:left="15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29A"/>
    <w:multiLevelType w:val="hybridMultilevel"/>
    <w:tmpl w:val="98928ADE"/>
    <w:lvl w:ilvl="0" w:tplc="1004DBD2">
      <w:start w:val="7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140216">
      <w:start w:val="2"/>
      <w:numFmt w:val="upperLetter"/>
      <w:lvlText w:val="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FAED90">
      <w:start w:val="1"/>
      <w:numFmt w:val="lowerRoman"/>
      <w:lvlText w:val="%3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FC89C2">
      <w:start w:val="1"/>
      <w:numFmt w:val="decimal"/>
      <w:lvlText w:val="%4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5011C8">
      <w:start w:val="1"/>
      <w:numFmt w:val="lowerLetter"/>
      <w:lvlText w:val="%5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8E7518">
      <w:start w:val="1"/>
      <w:numFmt w:val="lowerRoman"/>
      <w:lvlText w:val="%6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C4C336">
      <w:start w:val="1"/>
      <w:numFmt w:val="decimal"/>
      <w:lvlText w:val="%7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3E7EF6">
      <w:start w:val="1"/>
      <w:numFmt w:val="lowerLetter"/>
      <w:lvlText w:val="%8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A60E">
      <w:start w:val="1"/>
      <w:numFmt w:val="lowerRoman"/>
      <w:lvlText w:val="%9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695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9C"/>
    <w:rsid w:val="00493E9C"/>
    <w:rsid w:val="00597BA5"/>
    <w:rsid w:val="00A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C21A"/>
  <w15:docId w15:val="{2449924C-2383-45AC-AA6B-3DB8223F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Vincent, Hayley (Staff)</cp:lastModifiedBy>
  <cp:revision>3</cp:revision>
  <dcterms:created xsi:type="dcterms:W3CDTF">2017-12-01T09:42:00Z</dcterms:created>
  <dcterms:modified xsi:type="dcterms:W3CDTF">2022-05-01T16:21:00Z</dcterms:modified>
</cp:coreProperties>
</file>